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880" w:firstLineChars="200"/>
        <w:jc w:val="left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关于巴楚县2022年度政府决算情况的报告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440" w:firstLineChars="200"/>
        <w:jc w:val="left"/>
        <w:textAlignment w:val="auto"/>
        <w:outlineLvl w:val="9"/>
        <w:rPr>
          <w:rFonts w:hint="default" w:ascii="Times New Roman" w:hAnsi="Times New Roman" w:cs="Times New Roman"/>
          <w:sz w:val="22"/>
          <w:szCs w:val="28"/>
          <w:highlight w:val="none"/>
        </w:rPr>
      </w:pPr>
    </w:p>
    <w:p>
      <w:pPr>
        <w:pStyle w:val="4"/>
        <w:spacing w:before="101" w:line="540" w:lineRule="exact"/>
        <w:ind w:left="105" w:firstLine="572" w:firstLineChars="200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pacing w:val="-17"/>
          <w:position w:val="16"/>
          <w:sz w:val="32"/>
          <w:szCs w:val="32"/>
        </w:rPr>
        <w:t>——2022年</w:t>
      </w:r>
      <w:r>
        <w:rPr>
          <w:rFonts w:hint="eastAsia" w:ascii="Times New Roman" w:hAnsi="Times New Roman" w:eastAsia="方正仿宋简体" w:cs="Times New Roman"/>
          <w:spacing w:val="-17"/>
          <w:position w:val="16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方正仿宋简体" w:cs="Times New Roman"/>
          <w:spacing w:val="-17"/>
          <w:position w:val="16"/>
          <w:sz w:val="32"/>
          <w:szCs w:val="32"/>
        </w:rPr>
        <w:t>月2</w:t>
      </w:r>
      <w:r>
        <w:rPr>
          <w:rFonts w:hint="eastAsia" w:ascii="Times New Roman" w:hAnsi="Times New Roman" w:eastAsia="方正仿宋简体" w:cs="Times New Roman"/>
          <w:spacing w:val="-17"/>
          <w:position w:val="16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简体" w:cs="Times New Roman"/>
          <w:spacing w:val="-17"/>
          <w:position w:val="16"/>
          <w:sz w:val="32"/>
          <w:szCs w:val="32"/>
        </w:rPr>
        <w:t>日在巴楚县第17届人大常委会第</w:t>
      </w:r>
      <w:r>
        <w:rPr>
          <w:rFonts w:hint="eastAsia" w:ascii="Times New Roman" w:hAnsi="Times New Roman" w:eastAsia="方正仿宋简体" w:cs="Times New Roman"/>
          <w:spacing w:val="-17"/>
          <w:position w:val="16"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方正仿宋简体" w:cs="Times New Roman"/>
          <w:spacing w:val="-17"/>
          <w:position w:val="16"/>
          <w:sz w:val="32"/>
          <w:szCs w:val="32"/>
        </w:rPr>
        <w:t>次会</w:t>
      </w:r>
      <w:r>
        <w:rPr>
          <w:rFonts w:hint="default" w:ascii="Times New Roman" w:hAnsi="Times New Roman" w:eastAsia="方正仿宋简体" w:cs="Times New Roman"/>
          <w:spacing w:val="-18"/>
          <w:position w:val="16"/>
          <w:sz w:val="32"/>
          <w:szCs w:val="32"/>
        </w:rPr>
        <w:t>议上</w:t>
      </w:r>
    </w:p>
    <w:p>
      <w:pPr>
        <w:pStyle w:val="4"/>
        <w:spacing w:line="228" w:lineRule="auto"/>
        <w:ind w:left="2548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pacing w:val="1"/>
          <w:sz w:val="32"/>
          <w:szCs w:val="32"/>
        </w:rPr>
        <w:t>巴楚县财政局局长朱燕</w:t>
      </w:r>
    </w:p>
    <w:p>
      <w:pPr>
        <w:spacing w:line="296" w:lineRule="auto"/>
        <w:rPr>
          <w:rFonts w:hint="default" w:ascii="Times New Roman" w:hAnsi="Times New Roman" w:eastAsia="方正仿宋简体" w:cs="Times New Roman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50" w:lineRule="exact"/>
        <w:ind w:left="0" w:right="0" w:firstLine="675" w:firstLineChars="200"/>
        <w:jc w:val="left"/>
        <w:textAlignment w:val="baseline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pacing w:val="8"/>
          <w:sz w:val="32"/>
          <w:szCs w:val="32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主任、各位副主任，各位委员：</w:t>
      </w:r>
    </w:p>
    <w:p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50" w:lineRule="exact"/>
        <w:ind w:left="0" w:right="0" w:firstLine="656" w:firstLineChars="200"/>
        <w:jc w:val="left"/>
        <w:textAlignment w:val="baseline"/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简体" w:cs="Times New Roman"/>
          <w:color w:val="auto"/>
          <w:spacing w:val="4"/>
          <w:sz w:val="32"/>
          <w:szCs w:val="32"/>
          <w:lang w:val="en-US" w:eastAsia="zh-CN"/>
        </w:rPr>
        <w:t>根据《中华人民共和国预算法》和《中华人民共和国各级人民代表大会常务委员会监督法》的有关规定，我受县人民政府委托，向本次人大常委会议报告202</w:t>
      </w:r>
      <w:r>
        <w:rPr>
          <w:rFonts w:hint="eastAsia" w:ascii="Times New Roman" w:hAnsi="Times New Roman" w:eastAsia="方正仿宋简体" w:cs="Times New Roman"/>
          <w:color w:val="auto"/>
          <w:spacing w:val="4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简体" w:cs="Times New Roman"/>
          <w:color w:val="auto"/>
          <w:spacing w:val="4"/>
          <w:sz w:val="32"/>
          <w:szCs w:val="32"/>
          <w:lang w:val="en-US" w:eastAsia="zh-CN"/>
        </w:rPr>
        <w:t>年度财政决算情况，请予审议。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方正黑体简体" w:hAnsi="方正黑体简体" w:eastAsia="方正黑体简体" w:cs="方正黑体简体"/>
          <w:color w:val="000000"/>
          <w:kern w:val="0"/>
          <w:sz w:val="32"/>
          <w:szCs w:val="32"/>
          <w:highlight w:val="none"/>
        </w:rPr>
      </w:pPr>
      <w:r>
        <w:rPr>
          <w:rFonts w:hint="eastAsia" w:ascii="方正黑体简体" w:hAnsi="方正黑体简体" w:eastAsia="方正黑体简体" w:cs="方正黑体简体"/>
          <w:color w:val="000000"/>
          <w:kern w:val="0"/>
          <w:sz w:val="32"/>
          <w:szCs w:val="32"/>
          <w:highlight w:val="none"/>
        </w:rPr>
        <w:t>一、</w:t>
      </w:r>
      <w:r>
        <w:rPr>
          <w:rFonts w:hint="eastAsia" w:ascii="方正黑体简体" w:hAnsi="方正黑体简体" w:eastAsia="方正黑体简体" w:cs="方正黑体简体"/>
          <w:color w:val="000000"/>
          <w:kern w:val="0"/>
          <w:sz w:val="32"/>
          <w:szCs w:val="32"/>
          <w:highlight w:val="none"/>
          <w:lang w:eastAsia="zh-CN"/>
        </w:rPr>
        <w:t>2022年</w:t>
      </w:r>
      <w:r>
        <w:rPr>
          <w:rFonts w:hint="eastAsia" w:ascii="方正黑体简体" w:hAnsi="方正黑体简体" w:eastAsia="方正黑体简体" w:cs="方正黑体简体"/>
          <w:color w:val="000000"/>
          <w:kern w:val="0"/>
          <w:sz w:val="32"/>
          <w:szCs w:val="32"/>
          <w:highlight w:val="none"/>
        </w:rPr>
        <w:t>财政预算执行情况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jc w:val="left"/>
        <w:textAlignment w:val="auto"/>
        <w:outlineLvl w:val="9"/>
        <w:rPr>
          <w:rFonts w:hint="default" w:ascii="Times New Roman" w:hAnsi="Times New Roman" w:eastAsia="方正仿宋简体" w:cs="Times New Roman"/>
          <w:b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b/>
          <w:color w:val="000000"/>
          <w:kern w:val="0"/>
          <w:sz w:val="32"/>
          <w:szCs w:val="32"/>
          <w:highlight w:val="none"/>
        </w:rPr>
        <w:t>（一）一般公共预算执行情况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59" w:firstLineChars="200"/>
        <w:jc w:val="both"/>
        <w:textAlignment w:val="auto"/>
        <w:outlineLvl w:val="9"/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spacing w:val="4"/>
          <w:sz w:val="32"/>
          <w:szCs w:val="32"/>
          <w:highlight w:val="none"/>
        </w:rPr>
        <w:t>收入情况：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2022年一般公共预算收入完成39230万元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完成年初预算38738万元的101.27%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比序时进度增长1.27个百分点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比上年同期35212万元增加4018万元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增长11.41%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其中：税收收入完成15358万元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完成预算26389万元的58.20%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比上年22938万元减收7580万元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下降33.05%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占一般公共预算收入的比重为39.15%；非税收入完成23872万元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完成预算12349万元的193.30%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比上年12274万元增收11598万元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增长48.58%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占一般公共预算收入的比重为60.85%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较上年同期增长了25.99个百分点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收入质量有所下降。上级补助收入467995万元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上年结余48920万元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调入资金9216万元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一般债务转贷收入20420万元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动用预算稳定调节基金275万元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收入总量586056万元。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59" w:firstLineChars="200"/>
        <w:jc w:val="both"/>
        <w:textAlignment w:val="auto"/>
        <w:outlineLvl w:val="9"/>
        <w:rPr>
          <w:rFonts w:hint="default" w:ascii="Times New Roman" w:hAnsi="Times New Roman" w:eastAsia="方正仿宋简体" w:cs="Times New Roman"/>
          <w:b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b/>
          <w:color w:val="auto"/>
          <w:spacing w:val="4"/>
          <w:sz w:val="32"/>
          <w:szCs w:val="32"/>
          <w:highlight w:val="none"/>
        </w:rPr>
        <w:t>支出情况：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一般公共预算支出完成538012万元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比上年同期574155万元减少36143万元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下降6.29%；上解上级支出753万元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债务还本支出13108万元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安排预算稳定调节基金492万元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支出总量552365万元。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jc w:val="left"/>
        <w:textAlignment w:val="auto"/>
        <w:outlineLvl w:val="9"/>
        <w:rPr>
          <w:rFonts w:hint="default" w:ascii="Times New Roman" w:hAnsi="Times New Roman" w:eastAsia="方正仿宋简体" w:cs="Times New Roman"/>
          <w:b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b/>
          <w:color w:val="auto"/>
          <w:kern w:val="0"/>
          <w:sz w:val="32"/>
          <w:szCs w:val="32"/>
          <w:highlight w:val="none"/>
        </w:rPr>
        <w:t>平衡情况：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收支相抵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年终结转33691万元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其中：结转下年支出33691万元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净结余为零。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jc w:val="left"/>
        <w:textAlignment w:val="auto"/>
        <w:outlineLvl w:val="9"/>
        <w:rPr>
          <w:rFonts w:hint="default" w:ascii="Times New Roman" w:hAnsi="Times New Roman" w:eastAsia="方正仿宋简体" w:cs="Times New Roman"/>
          <w:b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b/>
          <w:color w:val="000000"/>
          <w:kern w:val="0"/>
          <w:sz w:val="32"/>
          <w:szCs w:val="32"/>
          <w:highlight w:val="none"/>
        </w:rPr>
        <w:t>（二）政府性基金执行情况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59" w:firstLineChars="200"/>
        <w:jc w:val="both"/>
        <w:textAlignment w:val="auto"/>
        <w:outlineLvl w:val="9"/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spacing w:val="4"/>
          <w:sz w:val="32"/>
          <w:szCs w:val="32"/>
          <w:highlight w:val="none"/>
        </w:rPr>
        <w:t>收入情况：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2022年政府性基金收入28041万元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完成预算52265万元的53.65%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比上年同期21764万元增收6277万元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增长28.84%。其中：国有土地使用权出让收入15337万元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比上年16783万元减收1446万元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下降8.62%；城市基础设施配套费收入1532万元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比上年342万元增收1190万元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增长347.95%。上级补助收入603万元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上年结余396万元</w:t>
      </w:r>
      <w:r>
        <w:rPr>
          <w:rFonts w:hint="eastAsia" w:ascii="Times New Roman" w:hAnsi="Times New Roman" w:eastAsia="方正仿宋简体" w:cs="Times New Roman"/>
          <w:b w:val="0"/>
          <w:bCs w:val="0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专项债务转贷收入96000万元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收入总量125040万元。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59" w:firstLineChars="200"/>
        <w:jc w:val="left"/>
        <w:textAlignment w:val="auto"/>
        <w:outlineLvl w:val="9"/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b/>
          <w:spacing w:val="4"/>
          <w:sz w:val="32"/>
          <w:szCs w:val="32"/>
          <w:highlight w:val="none"/>
        </w:rPr>
        <w:t>支出情况：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政府性基金预算支出108345万元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完成年初预算52265万元的107.30%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比上年同期205345万元减支97000万元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下降47.24%；上解上级支出0万元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调出资金8213万元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支出总量116558万元。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jc w:val="left"/>
        <w:textAlignment w:val="auto"/>
        <w:outlineLvl w:val="9"/>
        <w:rPr>
          <w:rFonts w:hint="default" w:ascii="Times New Roman" w:hAnsi="Times New Roman" w:eastAsia="方正仿宋简体" w:cs="Times New Roman"/>
          <w:b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b/>
          <w:color w:val="000000"/>
          <w:kern w:val="0"/>
          <w:sz w:val="32"/>
          <w:szCs w:val="32"/>
          <w:highlight w:val="none"/>
        </w:rPr>
        <w:t>平衡情况：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收支相抵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政府性基金年终结转8482万元。</w:t>
      </w:r>
    </w:p>
    <w:p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60" w:lineRule="exact"/>
        <w:ind w:left="0" w:leftChars="0" w:right="0" w:rightChars="0" w:firstLine="643" w:firstLineChars="200"/>
        <w:jc w:val="left"/>
        <w:textAlignment w:val="auto"/>
        <w:outlineLvl w:val="9"/>
        <w:rPr>
          <w:rFonts w:hint="default" w:ascii="Times New Roman" w:hAnsi="Times New Roman" w:eastAsia="方正仿宋简体" w:cs="Times New Roman"/>
          <w:b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  <w:highlight w:val="none"/>
        </w:rPr>
        <w:t>（三）国有资本经营预算执行情况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59" w:firstLineChars="200"/>
        <w:jc w:val="left"/>
        <w:textAlignment w:val="auto"/>
        <w:outlineLvl w:val="9"/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b/>
          <w:spacing w:val="4"/>
          <w:sz w:val="32"/>
          <w:szCs w:val="32"/>
          <w:highlight w:val="none"/>
        </w:rPr>
        <w:t>收入情况：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国有资本经营预算收入完成1698万元。上级补助收入2万元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上年结余64万元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59" w:firstLineChars="200"/>
        <w:jc w:val="left"/>
        <w:textAlignment w:val="auto"/>
        <w:outlineLvl w:val="9"/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spacing w:val="4"/>
          <w:sz w:val="32"/>
          <w:szCs w:val="32"/>
          <w:highlight w:val="none"/>
        </w:rPr>
        <w:t>支出情况：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国有资本经营预算支出1253万元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调出资金511万元。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jc w:val="left"/>
        <w:textAlignment w:val="auto"/>
        <w:outlineLvl w:val="9"/>
        <w:rPr>
          <w:rFonts w:hint="default" w:ascii="Times New Roman" w:hAnsi="Times New Roman" w:eastAsia="方正仿宋简体" w:cs="Times New Roman"/>
          <w:b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b/>
          <w:color w:val="000000"/>
          <w:kern w:val="0"/>
          <w:sz w:val="32"/>
          <w:szCs w:val="32"/>
          <w:highlight w:val="none"/>
        </w:rPr>
        <w:t>平衡情况：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收支相抵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国有资本经营年终结转0万元。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jc w:val="left"/>
        <w:textAlignment w:val="auto"/>
        <w:outlineLvl w:val="9"/>
        <w:rPr>
          <w:rFonts w:hint="default" w:ascii="Times New Roman" w:hAnsi="Times New Roman" w:eastAsia="方正仿宋简体" w:cs="Times New Roman"/>
          <w:b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b/>
          <w:color w:val="000000"/>
          <w:kern w:val="0"/>
          <w:sz w:val="32"/>
          <w:szCs w:val="32"/>
          <w:highlight w:val="none"/>
        </w:rPr>
        <w:t>（四）社会保险基金预算执行情况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59" w:firstLineChars="200"/>
        <w:jc w:val="both"/>
        <w:textAlignment w:val="auto"/>
        <w:outlineLvl w:val="9"/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spacing w:val="4"/>
          <w:sz w:val="32"/>
          <w:szCs w:val="32"/>
          <w:highlight w:val="none"/>
        </w:rPr>
        <w:t>收入情况：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社会保险基金收入39106万元。其中：城乡居民基本养老保险基金收入10428万元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机关事业单位基本养老保险基金收入28678万元。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59" w:firstLineChars="200"/>
        <w:jc w:val="both"/>
        <w:textAlignment w:val="auto"/>
        <w:outlineLvl w:val="9"/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spacing w:val="4"/>
          <w:sz w:val="32"/>
          <w:szCs w:val="32"/>
          <w:highlight w:val="none"/>
        </w:rPr>
        <w:t>支出情况：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社会保险基金支出57315万元。其中：城乡居民基本养老保险基金支出5318万元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机关事业单位基本养老保险基金支出51997万元。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简体" w:cs="Times New Roman"/>
          <w:b/>
          <w:color w:val="000000"/>
          <w:kern w:val="0"/>
          <w:sz w:val="32"/>
          <w:szCs w:val="32"/>
          <w:highlight w:val="none"/>
        </w:rPr>
        <w:t>平衡情况：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收支相抵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社会保险基金本年结余-18209万元。年末滚存结余47765万元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其中：城乡居民基本养老保险基金滚存结余39334万元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机关事业单位基本养老保险基金滚存结余8431万元。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75" w:firstLineChars="200"/>
        <w:jc w:val="left"/>
        <w:textAlignment w:val="auto"/>
        <w:outlineLvl w:val="9"/>
        <w:rPr>
          <w:rFonts w:hint="default" w:ascii="Times New Roman" w:hAnsi="Times New Roman" w:eastAsia="方正仿宋简体" w:cs="Times New Roman"/>
          <w:b/>
          <w:spacing w:val="8"/>
          <w:sz w:val="32"/>
          <w:szCs w:val="32"/>
          <w:highlight w:val="none"/>
        </w:rPr>
      </w:pPr>
      <w:bookmarkStart w:id="0" w:name="OLE_LINK2"/>
      <w:r>
        <w:rPr>
          <w:rFonts w:hint="default" w:ascii="Times New Roman" w:hAnsi="Times New Roman" w:eastAsia="方正仿宋简体" w:cs="Times New Roman"/>
          <w:b/>
          <w:spacing w:val="8"/>
          <w:sz w:val="32"/>
          <w:szCs w:val="32"/>
          <w:highlight w:val="none"/>
        </w:rPr>
        <w:t>（五）政府债务执行情况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截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至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202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年末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巴楚县政府债务余额511711万元</w:t>
      </w:r>
      <w:bookmarkStart w:id="1" w:name="OLE_LINK1"/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其中：政府一般债务余额240417万元（含政府一般债券239731万元、向外国政府借款余额686万元）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政府专项债务余额271294万元。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2022年巴楚县累计发行政府债券116420万元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其中：发行政府一般债券20420万元（含新增政府一般债券10000万元、再融资一般债券10420万元）；发行新增政府专项债券96000万元。2022年政府一般债务还本支出13108万元（县级预算安排还本2688万元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再融资债券还本10420万元）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政府专项债务还本支出0万元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偿还外国政府借款106万元。</w:t>
      </w:r>
    </w:p>
    <w:bookmarkEnd w:id="1"/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截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至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2022年末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巴楚县政府债务余额614917万元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其中：政府一般债务余额247623万元（含政府一般债券247043万元、向外国政府借款余额580万元）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政府专项债务余额367294万元。</w:t>
      </w:r>
    </w:p>
    <w:bookmarkEnd w:id="0"/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方正黑体简体" w:hAnsi="方正黑体简体" w:eastAsia="方正黑体简体" w:cs="方正黑体简体"/>
          <w:color w:val="000000"/>
          <w:kern w:val="0"/>
          <w:sz w:val="32"/>
          <w:szCs w:val="32"/>
          <w:highlight w:val="none"/>
          <w:lang w:eastAsia="zh-CN"/>
        </w:rPr>
      </w:pPr>
      <w:r>
        <w:rPr>
          <w:rFonts w:hint="default" w:ascii="方正黑体简体" w:hAnsi="方正黑体简体" w:eastAsia="方正黑体简体" w:cs="方正黑体简体"/>
          <w:color w:val="000000"/>
          <w:kern w:val="0"/>
          <w:sz w:val="32"/>
          <w:szCs w:val="32"/>
          <w:highlight w:val="none"/>
        </w:rPr>
        <w:t>二、</w:t>
      </w:r>
      <w:r>
        <w:rPr>
          <w:rFonts w:hint="default" w:ascii="方正黑体简体" w:hAnsi="方正黑体简体" w:eastAsia="方正黑体简体" w:cs="方正黑体简体"/>
          <w:color w:val="000000"/>
          <w:kern w:val="0"/>
          <w:sz w:val="32"/>
          <w:szCs w:val="32"/>
          <w:highlight w:val="none"/>
          <w:lang w:eastAsia="zh-CN"/>
        </w:rPr>
        <w:t>2022年</w:t>
      </w:r>
      <w:r>
        <w:rPr>
          <w:rFonts w:hint="default" w:ascii="方正黑体简体" w:hAnsi="方正黑体简体" w:eastAsia="方正黑体简体" w:cs="方正黑体简体"/>
          <w:color w:val="000000"/>
          <w:kern w:val="0"/>
          <w:sz w:val="32"/>
          <w:szCs w:val="32"/>
          <w:highlight w:val="none"/>
        </w:rPr>
        <w:t>部门决算收支情况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jc w:val="left"/>
        <w:textAlignment w:val="auto"/>
        <w:outlineLvl w:val="9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  <w:lang w:eastAsia="zh-CN"/>
        </w:rPr>
        <w:t>（一）部门收入情况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2022年各预算单位收入总额为696539.69万元（不含代列资金）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比上年同期数772739.13万元（不含代列资金）减收76199.44万元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同比下降9.86%。包括：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2022年部门财政拨款收入613237.42万元（不含代列资金）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比上年同期数730789.98万元（不含代列资金）减收117552.56万元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同比下降16.09%。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事业收入34258.05万元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比上年同期数35419.23万元减收1161.18万元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同比增长3.28%。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其他收入49044.21万元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比上年同期数6529.92万元增收42514.29万元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同比增长651.07%。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  <w:lang w:eastAsia="zh-CN"/>
        </w:rPr>
        <w:t>（二）部门支出情况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2022年各预算单位支出总额为680506.56万元（不含代列支出）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比上年同期数768226.74万元（不含代列支出）减支87720.18万元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同比下降11.42%。其中：基本支出为244760.98万元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所占支出比重为35.97%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比上年同期数226,639.22万元增支18121.76万元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同比增长7.99%；项目支出为435745.57万元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所占支出比重为64.03%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比上年同期数541587.52万元减支105841.95万元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同比下降19.54%。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  <w:lang w:eastAsia="zh-CN"/>
        </w:rPr>
        <w:t>（三）部门结余情况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2022年部门年末结转结余为15743.43万元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与上年同期数0万元相比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比上年增加15743.43万元。其中：财政拨款年末结转和结余0万元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无变动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主要原因为援疆资金项目支出</w:t>
      </w:r>
      <w:r>
        <w:rPr>
          <w:rFonts w:hint="default" w:ascii="Times New Roman" w:hAnsi="Times New Roman" w:eastAsia="方正仿宋简体" w:cs="Times New Roman"/>
          <w:bCs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jc w:val="left"/>
        <w:textAlignment w:val="auto"/>
        <w:outlineLvl w:val="9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  <w:lang w:eastAsia="zh-CN"/>
        </w:rPr>
        <w:t>（四）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  <w:lang w:val="en-US" w:eastAsia="zh-CN"/>
        </w:rPr>
        <w:t>2022年全面实施预算绩效管理情况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围绕地委、行署重点工作部署和社会关注度较高的项目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财政牵头组织对重点项目开展第三方绩效评价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评价过程中加强跟踪动态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并将发现的问题及时反馈给各部门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倒逼其落实绩效管理主体责任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改进管理措施办法。抽取了2022年成品油税费改革转移支付资金预算用于农村公路养护项目、2022年现代职业教育质量提升项目、2022年中央补助地方公共文化服务体系建设(戏曲下乡）项目、2022年中央林业草原生态保护恢复资金（护林员）项目、2022年自主择业军转干部医保费项目、巴楚县2022年第三次土壤普查项目、巴楚县2022年耕地轮作项目、巴楚县阿纳库勒乡巡河步道建设项目、巴楚县2020年中央农业生产发展资金（农机购置补贴）项目、巴楚县农业农村机械化发展中心2022年农业机械购置补贴项目等10个重点项目由第三方独立评价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并出具了重点项目绩效评价报告。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方正黑体简体" w:hAnsi="方正黑体简体" w:eastAsia="方正黑体简体" w:cs="方正黑体简体"/>
          <w:color w:val="000000"/>
          <w:kern w:val="0"/>
          <w:sz w:val="32"/>
          <w:szCs w:val="32"/>
          <w:highlight w:val="none"/>
        </w:rPr>
        <w:t>三、</w:t>
      </w:r>
      <w:r>
        <w:rPr>
          <w:rFonts w:hint="default" w:ascii="方正黑体简体" w:hAnsi="方正黑体简体" w:eastAsia="方正黑体简体" w:cs="方正黑体简体"/>
          <w:color w:val="000000"/>
          <w:kern w:val="0"/>
          <w:sz w:val="32"/>
          <w:szCs w:val="32"/>
          <w:highlight w:val="none"/>
          <w:lang w:eastAsia="zh-CN"/>
        </w:rPr>
        <w:t>2022年</w:t>
      </w:r>
      <w:r>
        <w:rPr>
          <w:rFonts w:hint="default" w:ascii="方正黑体简体" w:hAnsi="方正黑体简体" w:eastAsia="方正黑体简体" w:cs="方正黑体简体"/>
          <w:color w:val="000000"/>
          <w:kern w:val="0"/>
          <w:sz w:val="32"/>
          <w:szCs w:val="32"/>
          <w:highlight w:val="none"/>
        </w:rPr>
        <w:t>“三公”经费情况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2022年度一般公共预算“三公”经费支出决算419.35万元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比上年429.78万元减少10.43万元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降低2.43%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减少原因是压减支出。其中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因公出国（境）费支出0元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与上年一致；公务用车购置及运行维护费支出382.35万元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占90.3%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比上年388.11万元减少5.76万元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降低1.48%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其中：公务用车购置费支出0万元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同比无变化；公务用车运行维护费支出382.35万元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同比下降1.48%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减少原因是压减支出；公务接待费支出37万元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占9.7%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比上年41.67万元减少4.67万元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降低11.21%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减少原因是压减支出。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方正黑体简体" w:hAnsi="方正黑体简体" w:eastAsia="方正黑体简体" w:cs="方正黑体简体"/>
          <w:color w:val="000000"/>
          <w:kern w:val="0"/>
          <w:sz w:val="32"/>
          <w:szCs w:val="32"/>
          <w:highlight w:val="none"/>
        </w:rPr>
      </w:pPr>
      <w:r>
        <w:rPr>
          <w:rFonts w:hint="default" w:ascii="方正黑体简体" w:hAnsi="方正黑体简体" w:eastAsia="方正黑体简体" w:cs="方正黑体简体"/>
          <w:color w:val="000000"/>
          <w:kern w:val="0"/>
          <w:sz w:val="32"/>
          <w:szCs w:val="32"/>
          <w:highlight w:val="none"/>
        </w:rPr>
        <w:t>四、</w:t>
      </w:r>
      <w:r>
        <w:rPr>
          <w:rFonts w:hint="default" w:ascii="方正黑体简体" w:hAnsi="方正黑体简体" w:eastAsia="方正黑体简体" w:cs="方正黑体简体"/>
          <w:color w:val="000000"/>
          <w:kern w:val="0"/>
          <w:sz w:val="32"/>
          <w:szCs w:val="32"/>
          <w:highlight w:val="none"/>
          <w:lang w:eastAsia="zh-CN"/>
        </w:rPr>
        <w:t>2022年</w:t>
      </w:r>
      <w:r>
        <w:rPr>
          <w:rFonts w:hint="default" w:ascii="方正黑体简体" w:hAnsi="方正黑体简体" w:eastAsia="方正黑体简体" w:cs="方正黑体简体"/>
          <w:color w:val="000000"/>
          <w:kern w:val="0"/>
          <w:sz w:val="32"/>
          <w:szCs w:val="32"/>
          <w:highlight w:val="none"/>
        </w:rPr>
        <w:t>财政主要工作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jc w:val="left"/>
        <w:textAlignment w:val="auto"/>
        <w:outlineLvl w:val="9"/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</w:rPr>
        <w:t>（一）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  <w:lang w:val="en-US" w:eastAsia="zh-CN"/>
        </w:rPr>
        <w:t>落实积极的财政政策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  <w:lang w:val="en-US" w:eastAsia="zh-CN"/>
        </w:rPr>
        <w:t>全力支持经济高质量发展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方正仿宋简体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一是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不折不扣落实向中小微企业、制造业等重点行业实施增值税大规模留抵退税政策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为市场主体纾困解难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增添强劲发展动力。</w:t>
      </w:r>
      <w:r>
        <w:rPr>
          <w:rFonts w:hint="default" w:ascii="Times New Roman" w:hAnsi="Times New Roman" w:eastAsia="方正仿宋简体" w:cs="Times New Roman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二是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积极申请上级补助资金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有力保障落实留抵退税政策所需资金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争取留抵退税补助资金1.1亿元。</w:t>
      </w:r>
      <w:r>
        <w:rPr>
          <w:rFonts w:hint="default" w:ascii="Times New Roman" w:hAnsi="Times New Roman" w:eastAsia="方正仿宋简体" w:cs="Times New Roman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三是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充分发挥地方政府债券积极作用</w:t>
      </w:r>
      <w:r>
        <w:rPr>
          <w:rFonts w:hint="eastAsia" w:ascii="Times New Roman" w:hAnsi="Times New Roman" w:eastAsia="方正仿宋简体" w:cs="Times New Roman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申请新增地方政府债券10.6亿元</w:t>
      </w:r>
      <w:r>
        <w:rPr>
          <w:rFonts w:hint="eastAsia" w:ascii="Times New Roman" w:hAnsi="Times New Roman" w:eastAsia="方正仿宋简体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lang w:val="en-US" w:eastAsia="zh-CN"/>
        </w:rPr>
        <w:t>有力发挥了债券资金稳投资、促增长的积极作用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。</w:t>
      </w:r>
      <w:r>
        <w:rPr>
          <w:rFonts w:hint="default" w:ascii="Times New Roman" w:hAnsi="Times New Roman" w:eastAsia="方正仿宋简体" w:cs="Times New Roman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四是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落实转移支付资金直达机制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确保中央直达资金直接惠企利民。争取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直达资金19.44亿元</w:t>
      </w:r>
      <w:r>
        <w:rPr>
          <w:rFonts w:hint="eastAsia" w:ascii="Times New Roman" w:hAnsi="Times New Roman" w:eastAsia="方正仿宋简体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为保就业、保民生、保市场主体提供支撑。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方正仿宋简体" w:cs="Times New Roman"/>
          <w:b/>
          <w:bCs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b/>
          <w:bCs/>
          <w:kern w:val="0"/>
          <w:sz w:val="32"/>
          <w:szCs w:val="32"/>
          <w:highlight w:val="none"/>
        </w:rPr>
        <w:t>（二）切实加强财政支出管理</w:t>
      </w:r>
      <w:r>
        <w:rPr>
          <w:rFonts w:hint="eastAsia" w:ascii="Times New Roman" w:hAnsi="Times New Roman" w:eastAsia="方正仿宋简体" w:cs="Times New Roman"/>
          <w:b/>
          <w:bCs/>
          <w:kern w:val="0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b/>
          <w:bCs/>
          <w:kern w:val="0"/>
          <w:sz w:val="32"/>
          <w:szCs w:val="32"/>
          <w:highlight w:val="none"/>
          <w:lang w:val="en-US" w:eastAsia="zh-CN"/>
        </w:rPr>
        <w:t>保持财政支出强度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我县紧紧围绕社会稳定和长治久安总目标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坚持稳中求进总基调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坚决落实“疫情要防住、经济要稳住、发展要安全”的要求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全面落实推进经济增长的一系列措施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强化资金和政策保障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扎实做好“六稳”“六保”工作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着力推动高质量发展。牢固树立党政机关“过紧日子”思想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坚持严和紧的总基调不放松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注重精打细算、厉行节约。2022年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全县用于民生支出42.02亿元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占一般公共预算支出比重78.1%。</w:t>
      </w:r>
      <w:r>
        <w:rPr>
          <w:rFonts w:hint="default" w:ascii="Times New Roman" w:hAnsi="Times New Roman" w:eastAsia="方正仿宋简体" w:cs="Times New Roman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一是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加强社会保障和就业支出。2022年全县社会保障和就业支出7.3亿元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使我县城乡居民基本民生得到保障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就业惠民工程大力实施。</w:t>
      </w:r>
      <w:r>
        <w:rPr>
          <w:rFonts w:hint="default" w:ascii="Times New Roman" w:hAnsi="Times New Roman" w:eastAsia="方正仿宋简体" w:cs="Times New Roman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二是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持续加大教育投入力度。2022年全县教育支出14.87亿元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落实了教育投入“两个只增不减”要求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助力教育事业发展。</w:t>
      </w:r>
      <w:r>
        <w:rPr>
          <w:rFonts w:hint="default" w:ascii="Times New Roman" w:hAnsi="Times New Roman" w:eastAsia="方正仿宋简体" w:cs="Times New Roman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三是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加大对乡村振兴财政预算安排力度。2022年到位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巩固拓展脱贫攻坚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成果同乡村振兴有效衔接资金7.82亿元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支付7.64亿元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支付率97.66%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衔接资金及时发挥效益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助力高质量完成巩固拓展脱贫攻坚成果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同</w:t>
      </w:r>
      <w:bookmarkStart w:id="2" w:name="_GoBack"/>
      <w:bookmarkEnd w:id="2"/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乡村振兴有效衔接工作任务。</w:t>
      </w:r>
      <w:r>
        <w:rPr>
          <w:rFonts w:hint="default" w:ascii="Times New Roman" w:hAnsi="Times New Roman" w:eastAsia="方正仿宋简体" w:cs="Times New Roman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四是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落实各项惠农政策。2022年41项惠农政策资金支付7.11亿元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通过“一卡通”将惠民惠农补贴资金及时足额拨付到农户手中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有效保障农民权益。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jc w:val="left"/>
        <w:textAlignment w:val="auto"/>
        <w:outlineLvl w:val="9"/>
        <w:rPr>
          <w:rFonts w:hint="default" w:ascii="Times New Roman" w:hAnsi="Times New Roman" w:eastAsia="方正仿宋简体" w:cs="Times New Roman"/>
          <w:b/>
          <w:bCs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b/>
          <w:bCs/>
          <w:kern w:val="0"/>
          <w:sz w:val="32"/>
          <w:szCs w:val="32"/>
          <w:highlight w:val="none"/>
        </w:rPr>
        <w:t>（三）</w:t>
      </w:r>
      <w:r>
        <w:rPr>
          <w:rFonts w:hint="default" w:ascii="Times New Roman" w:hAnsi="Times New Roman" w:eastAsia="方正仿宋简体" w:cs="Times New Roman"/>
          <w:b/>
          <w:bCs/>
          <w:kern w:val="0"/>
          <w:sz w:val="32"/>
          <w:szCs w:val="32"/>
          <w:highlight w:val="none"/>
          <w:lang w:val="en-US" w:eastAsia="zh-CN"/>
        </w:rPr>
        <w:t>坚持法治思维</w:t>
      </w:r>
      <w:r>
        <w:rPr>
          <w:rFonts w:hint="eastAsia" w:ascii="Times New Roman" w:hAnsi="Times New Roman" w:eastAsia="方正仿宋简体" w:cs="Times New Roman"/>
          <w:b/>
          <w:bCs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b/>
          <w:bCs/>
          <w:kern w:val="0"/>
          <w:sz w:val="32"/>
          <w:szCs w:val="32"/>
          <w:highlight w:val="none"/>
          <w:lang w:val="en-US" w:eastAsia="zh-CN"/>
        </w:rPr>
        <w:t>深化财税体制改革</w:t>
      </w:r>
      <w:r>
        <w:rPr>
          <w:rFonts w:hint="eastAsia" w:ascii="Times New Roman" w:hAnsi="Times New Roman" w:eastAsia="方正仿宋简体" w:cs="Times New Roman"/>
          <w:b/>
          <w:bCs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b/>
          <w:kern w:val="0"/>
          <w:sz w:val="32"/>
          <w:szCs w:val="32"/>
          <w:highlight w:val="none"/>
        </w:rPr>
        <w:t>促进经济持续健康发展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一是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着力打造“阳光财政”。压紧压实各部门预决算公开工作责任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明确公开时限、规范公开模板、实施公开检查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预决算透明度不断增强。2022年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我县142个部门单位扎实开展部门预决算公开工作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预算单位充分认识到预决算公开的重要性和必要性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以公开稳预期、强监督、促落实、优服务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切实增强人民群众满意度、获得感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为促进经济持续健康发展和社会大局稳定发挥积极作用。</w:t>
      </w:r>
      <w:r>
        <w:rPr>
          <w:rFonts w:hint="default" w:ascii="Times New Roman" w:hAnsi="Times New Roman" w:eastAsia="方正仿宋简体" w:cs="Times New Roman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二是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持续推动预算管理一体化2.0系统运用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实现预算全过程有效监督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进一步提升财政现代化管理水平。</w:t>
      </w:r>
      <w:r>
        <w:rPr>
          <w:rFonts w:hint="default" w:ascii="Times New Roman" w:hAnsi="Times New Roman" w:eastAsia="方正仿宋简体" w:cs="Times New Roman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三是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主动接受人大、审计监督检查。依法向人大常委会报告2022年预算调整情况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积极协助人大常委会推进预算审查联网监督等工作。积极配合审计部门顺利完成财政预算执行审计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督促指导相关部门扎实做好审计查出问题整改工作。</w:t>
      </w:r>
      <w:r>
        <w:rPr>
          <w:rFonts w:hint="default" w:ascii="Times New Roman" w:hAnsi="Times New Roman" w:eastAsia="方正仿宋简体" w:cs="Times New Roman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四是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深入开展地方财经秩序专项整治行动。按照专项行动方案要求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对落实国家减税降费政策、党政机关“过紧日子”、基层“三保”、防范债务风险等7个领域违反财经纪律问题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开展了全面自查自纠。建立问题整改台账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实施清单管理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全面整改查处问题。针对发现问题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制定修订各项制度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highlight w:val="none"/>
          <w:lang w:val="en-US" w:eastAsia="zh-CN"/>
        </w:rPr>
        <w:t>依法理财能力明显提升。</w:t>
      </w:r>
    </w:p>
    <w:p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50" w:lineRule="exact"/>
        <w:ind w:left="0" w:right="0" w:firstLine="652" w:firstLineChars="200"/>
        <w:jc w:val="left"/>
        <w:textAlignment w:val="baseline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pacing w:val="3"/>
          <w:sz w:val="32"/>
          <w:szCs w:val="32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主任、各位副主任，各位委员：</w:t>
      </w:r>
      <w:r>
        <w:rPr>
          <w:rFonts w:hint="default" w:ascii="Times New Roman" w:hAnsi="Times New Roman" w:eastAsia="方正仿宋简体" w:cs="Times New Roman"/>
          <w:spacing w:val="3"/>
          <w:sz w:val="32"/>
          <w:szCs w:val="32"/>
        </w:rPr>
        <w:t>202</w:t>
      </w:r>
      <w:r>
        <w:rPr>
          <w:rFonts w:hint="eastAsia" w:ascii="Times New Roman" w:hAnsi="Times New Roman" w:eastAsia="方正仿宋简体" w:cs="Times New Roman"/>
          <w:spacing w:val="3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简体" w:cs="Times New Roman"/>
          <w:spacing w:val="3"/>
          <w:sz w:val="32"/>
          <w:szCs w:val="32"/>
        </w:rPr>
        <w:t>年度决算工作已圆</w:t>
      </w:r>
      <w:r>
        <w:rPr>
          <w:rFonts w:hint="default" w:ascii="Times New Roman" w:hAnsi="Times New Roman" w:eastAsia="方正仿宋简体" w:cs="Times New Roman"/>
          <w:spacing w:val="8"/>
          <w:sz w:val="32"/>
          <w:szCs w:val="32"/>
        </w:rPr>
        <w:t>满完成，我们将在县委、县政府的正确领导下，在县人大监督指导和上级部门的关心支持下，以更加开阔的思路</w:t>
      </w:r>
      <w:r>
        <w:rPr>
          <w:rFonts w:hint="eastAsia" w:ascii="Times New Roman" w:hAnsi="Times New Roman" w:eastAsia="方正仿宋简体" w:cs="Times New Roman"/>
          <w:spacing w:val="8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简体" w:cs="Times New Roman"/>
          <w:spacing w:val="8"/>
          <w:sz w:val="32"/>
          <w:szCs w:val="32"/>
        </w:rPr>
        <w:t>更加</w:t>
      </w:r>
      <w:r>
        <w:rPr>
          <w:rFonts w:hint="default" w:ascii="Times New Roman" w:hAnsi="Times New Roman" w:eastAsia="方正仿宋简体" w:cs="Times New Roman"/>
          <w:spacing w:val="9"/>
          <w:sz w:val="32"/>
          <w:szCs w:val="32"/>
        </w:rPr>
        <w:t>有效的举措</w:t>
      </w:r>
      <w:r>
        <w:rPr>
          <w:rFonts w:hint="eastAsia" w:ascii="Times New Roman" w:hAnsi="Times New Roman" w:eastAsia="方正仿宋简体" w:cs="Times New Roman"/>
          <w:spacing w:val="9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简体" w:cs="Times New Roman"/>
          <w:spacing w:val="9"/>
          <w:sz w:val="32"/>
          <w:szCs w:val="32"/>
        </w:rPr>
        <w:t>更加务实的作风，攻坚克难，</w:t>
      </w:r>
      <w:r>
        <w:rPr>
          <w:rFonts w:hint="default" w:ascii="Times New Roman" w:hAnsi="Times New Roman" w:eastAsia="方正仿宋简体" w:cs="Times New Roman"/>
          <w:spacing w:val="8"/>
          <w:sz w:val="32"/>
          <w:szCs w:val="32"/>
        </w:rPr>
        <w:t>扎实工作</w:t>
      </w:r>
      <w:r>
        <w:rPr>
          <w:rFonts w:hint="eastAsia" w:ascii="Times New Roman" w:hAnsi="Times New Roman" w:eastAsia="方正仿宋简体" w:cs="Times New Roman"/>
          <w:spacing w:val="8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spacing w:val="8"/>
          <w:sz w:val="32"/>
          <w:szCs w:val="32"/>
        </w:rPr>
        <w:t>为更</w:t>
      </w:r>
      <w:r>
        <w:rPr>
          <w:rFonts w:hint="default" w:ascii="Times New Roman" w:hAnsi="Times New Roman" w:eastAsia="方正仿宋简体" w:cs="Times New Roman"/>
          <w:spacing w:val="4"/>
          <w:sz w:val="32"/>
          <w:szCs w:val="32"/>
        </w:rPr>
        <w:t>好地完成202</w:t>
      </w:r>
      <w:r>
        <w:rPr>
          <w:rFonts w:hint="eastAsia" w:ascii="Times New Roman" w:hAnsi="Times New Roman" w:eastAsia="方正仿宋简体" w:cs="Times New Roman"/>
          <w:spacing w:val="4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简体" w:cs="Times New Roman"/>
          <w:spacing w:val="4"/>
          <w:sz w:val="32"/>
          <w:szCs w:val="32"/>
        </w:rPr>
        <w:t>年度财政工作努力奋斗。</w:t>
      </w:r>
    </w:p>
    <w:p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50" w:lineRule="exact"/>
        <w:ind w:left="0" w:right="0" w:firstLine="652" w:firstLineChars="200"/>
        <w:jc w:val="left"/>
        <w:textAlignment w:val="baseline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pacing w:val="3"/>
          <w:sz w:val="32"/>
          <w:szCs w:val="32"/>
        </w:rPr>
        <w:t>以上报告，请予审议！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420" w:firstLineChars="200"/>
        <w:jc w:val="both"/>
        <w:textAlignment w:val="auto"/>
        <w:outlineLvl w:val="9"/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417" w:right="1249" w:bottom="1417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21462BA"/>
    <w:multiLevelType w:val="multilevel"/>
    <w:tmpl w:val="F21462BA"/>
    <w:lvl w:ilvl="0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lvlRestart w:val="0"/>
      <w:pStyle w:val="3"/>
      <w:suff w:val="nothing"/>
      <w:lvlText w:val=""/>
      <w:lvlJc w:val="left"/>
      <w:pPr>
        <w:tabs>
          <w:tab w:val="left" w:pos="0"/>
        </w:tabs>
        <w:ind w:left="992" w:hanging="992"/>
      </w:pPr>
    </w:lvl>
    <w:lvl w:ilvl="2" w:tentative="0">
      <w:start w:val="1"/>
      <w:numFmt w:val="none"/>
      <w:lvlRestart w:val="0"/>
      <w:suff w:val="nothing"/>
      <w:lvlText w:val=""/>
      <w:lvlJc w:val="left"/>
      <w:pPr>
        <w:tabs>
          <w:tab w:val="left" w:pos="0"/>
        </w:tabs>
        <w:ind w:left="1418" w:hanging="1418"/>
      </w:pPr>
    </w:lvl>
    <w:lvl w:ilvl="3" w:tentative="0">
      <w:start w:val="1"/>
      <w:numFmt w:val="none"/>
      <w:lvlRestart w:val="0"/>
      <w:suff w:val="nothing"/>
      <w:lvlText w:val=""/>
      <w:lvlJc w:val="left"/>
      <w:pPr>
        <w:tabs>
          <w:tab w:val="left" w:pos="0"/>
        </w:tabs>
        <w:ind w:left="1984" w:hanging="1984"/>
      </w:pPr>
    </w:lvl>
    <w:lvl w:ilvl="4" w:tentative="0">
      <w:start w:val="1"/>
      <w:numFmt w:val="none"/>
      <w:lvlRestart w:val="0"/>
      <w:suff w:val="nothing"/>
      <w:lvlText w:val=""/>
      <w:lvlJc w:val="left"/>
      <w:pPr>
        <w:tabs>
          <w:tab w:val="left" w:pos="0"/>
        </w:tabs>
        <w:ind w:left="2551" w:hanging="2551"/>
      </w:pPr>
    </w:lvl>
    <w:lvl w:ilvl="5" w:tentative="0">
      <w:start w:val="1"/>
      <w:numFmt w:val="none"/>
      <w:lvlRestart w:val="0"/>
      <w:suff w:val="nothing"/>
      <w:lvlText w:val=""/>
      <w:lvlJc w:val="left"/>
      <w:pPr>
        <w:tabs>
          <w:tab w:val="left" w:pos="0"/>
        </w:tabs>
        <w:ind w:left="3260" w:hanging="3260"/>
      </w:pPr>
    </w:lvl>
    <w:lvl w:ilvl="6" w:tentative="0">
      <w:start w:val="1"/>
      <w:numFmt w:val="none"/>
      <w:lvlRestart w:val="0"/>
      <w:suff w:val="nothing"/>
      <w:lvlText w:val=""/>
      <w:lvlJc w:val="left"/>
      <w:pPr>
        <w:tabs>
          <w:tab w:val="left" w:pos="0"/>
        </w:tabs>
        <w:ind w:left="3827" w:hanging="3827"/>
      </w:pPr>
    </w:lvl>
    <w:lvl w:ilvl="7" w:tentative="0">
      <w:start w:val="1"/>
      <w:numFmt w:val="none"/>
      <w:lvlRestart w:val="0"/>
      <w:suff w:val="nothing"/>
      <w:lvlText w:val=""/>
      <w:lvlJc w:val="left"/>
      <w:pPr>
        <w:tabs>
          <w:tab w:val="left" w:pos="0"/>
        </w:tabs>
        <w:ind w:left="4394" w:hanging="4394"/>
      </w:pPr>
    </w:lvl>
    <w:lvl w:ilvl="8" w:tentative="0">
      <w:start w:val="1"/>
      <w:numFmt w:val="none"/>
      <w:lvlRestart w:val="0"/>
      <w:suff w:val="nothing"/>
      <w:lvlText w:val=""/>
      <w:lvlJc w:val="left"/>
      <w:pPr>
        <w:tabs>
          <w:tab w:val="left" w:pos="0"/>
        </w:tabs>
        <w:ind w:left="5102" w:hanging="5102"/>
      </w:pPr>
    </w:lvl>
  </w:abstractNum>
  <w:abstractNum w:abstractNumId="1">
    <w:nsid w:val="00000001"/>
    <w:multiLevelType w:val="multilevel"/>
    <w:tmpl w:val="00000001"/>
    <w:lvl w:ilvl="0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lvlRestart w:val="0"/>
      <w:suff w:val="nothing"/>
      <w:lvlText w:val=""/>
      <w:lvlJc w:val="left"/>
      <w:pPr>
        <w:tabs>
          <w:tab w:val="left" w:pos="0"/>
        </w:tabs>
        <w:ind w:left="992" w:hanging="992"/>
      </w:pPr>
    </w:lvl>
    <w:lvl w:ilvl="2" w:tentative="0">
      <w:start w:val="1"/>
      <w:numFmt w:val="none"/>
      <w:lvlRestart w:val="0"/>
      <w:pStyle w:val="2"/>
      <w:suff w:val="nothing"/>
      <w:lvlText w:val=""/>
      <w:lvlJc w:val="left"/>
      <w:pPr>
        <w:tabs>
          <w:tab w:val="left" w:pos="0"/>
        </w:tabs>
        <w:ind w:left="1418" w:hanging="1418"/>
      </w:pPr>
    </w:lvl>
    <w:lvl w:ilvl="3" w:tentative="0">
      <w:start w:val="1"/>
      <w:numFmt w:val="none"/>
      <w:lvlRestart w:val="0"/>
      <w:suff w:val="nothing"/>
      <w:lvlText w:val=""/>
      <w:lvlJc w:val="left"/>
      <w:pPr>
        <w:tabs>
          <w:tab w:val="left" w:pos="0"/>
        </w:tabs>
        <w:ind w:left="1984" w:hanging="1984"/>
      </w:pPr>
    </w:lvl>
    <w:lvl w:ilvl="4" w:tentative="0">
      <w:start w:val="1"/>
      <w:numFmt w:val="none"/>
      <w:lvlRestart w:val="0"/>
      <w:suff w:val="nothing"/>
      <w:lvlText w:val=""/>
      <w:lvlJc w:val="left"/>
      <w:pPr>
        <w:tabs>
          <w:tab w:val="left" w:pos="0"/>
        </w:tabs>
        <w:ind w:left="2551" w:hanging="2551"/>
      </w:pPr>
    </w:lvl>
    <w:lvl w:ilvl="5" w:tentative="0">
      <w:start w:val="1"/>
      <w:numFmt w:val="none"/>
      <w:lvlRestart w:val="0"/>
      <w:suff w:val="nothing"/>
      <w:lvlText w:val=""/>
      <w:lvlJc w:val="left"/>
      <w:pPr>
        <w:tabs>
          <w:tab w:val="left" w:pos="0"/>
        </w:tabs>
        <w:ind w:left="3260" w:hanging="3260"/>
      </w:pPr>
    </w:lvl>
    <w:lvl w:ilvl="6" w:tentative="0">
      <w:start w:val="1"/>
      <w:numFmt w:val="none"/>
      <w:lvlRestart w:val="0"/>
      <w:suff w:val="nothing"/>
      <w:lvlText w:val=""/>
      <w:lvlJc w:val="left"/>
      <w:pPr>
        <w:tabs>
          <w:tab w:val="left" w:pos="0"/>
        </w:tabs>
        <w:ind w:left="3827" w:hanging="3827"/>
      </w:pPr>
    </w:lvl>
    <w:lvl w:ilvl="7" w:tentative="0">
      <w:start w:val="1"/>
      <w:numFmt w:val="none"/>
      <w:lvlRestart w:val="0"/>
      <w:suff w:val="nothing"/>
      <w:lvlText w:val=""/>
      <w:lvlJc w:val="left"/>
      <w:pPr>
        <w:tabs>
          <w:tab w:val="left" w:pos="0"/>
        </w:tabs>
        <w:ind w:left="4394" w:hanging="4394"/>
      </w:pPr>
    </w:lvl>
    <w:lvl w:ilvl="8" w:tentative="0">
      <w:start w:val="1"/>
      <w:numFmt w:val="none"/>
      <w:lvlRestart w:val="0"/>
      <w:suff w:val="nothing"/>
      <w:lvlText w:val=""/>
      <w:lvlJc w:val="left"/>
      <w:pPr>
        <w:tabs>
          <w:tab w:val="left" w:pos="0"/>
        </w:tabs>
        <w:ind w:left="5102" w:hanging="5102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k2ZDZlZTRkOWM3ZDhkNTdkZTgyNjZhZmMwZjkyMDcifQ=="/>
  </w:docVars>
  <w:rsids>
    <w:rsidRoot w:val="00172A27"/>
    <w:rsid w:val="00175255"/>
    <w:rsid w:val="00AE2263"/>
    <w:rsid w:val="00E5640E"/>
    <w:rsid w:val="00E873B3"/>
    <w:rsid w:val="00E91D42"/>
    <w:rsid w:val="017D17C6"/>
    <w:rsid w:val="0196006D"/>
    <w:rsid w:val="01B5647F"/>
    <w:rsid w:val="021D5F45"/>
    <w:rsid w:val="024C01E8"/>
    <w:rsid w:val="03FF60DB"/>
    <w:rsid w:val="04F94DC6"/>
    <w:rsid w:val="05390039"/>
    <w:rsid w:val="064B1753"/>
    <w:rsid w:val="06BD7216"/>
    <w:rsid w:val="06E24EE5"/>
    <w:rsid w:val="075C7340"/>
    <w:rsid w:val="08783B43"/>
    <w:rsid w:val="089602BB"/>
    <w:rsid w:val="08F60AE5"/>
    <w:rsid w:val="092F6D6B"/>
    <w:rsid w:val="09451E90"/>
    <w:rsid w:val="09A47C77"/>
    <w:rsid w:val="0A0519E0"/>
    <w:rsid w:val="0AFE6183"/>
    <w:rsid w:val="0B0F6A64"/>
    <w:rsid w:val="0C20225B"/>
    <w:rsid w:val="0CC354F9"/>
    <w:rsid w:val="0D524BC5"/>
    <w:rsid w:val="0D5F5816"/>
    <w:rsid w:val="0ED73B55"/>
    <w:rsid w:val="0F9E7254"/>
    <w:rsid w:val="0FA66478"/>
    <w:rsid w:val="106511E1"/>
    <w:rsid w:val="10A44137"/>
    <w:rsid w:val="111F66C7"/>
    <w:rsid w:val="11313EA7"/>
    <w:rsid w:val="116F3736"/>
    <w:rsid w:val="13D5574B"/>
    <w:rsid w:val="13FB0A1D"/>
    <w:rsid w:val="13FB36C3"/>
    <w:rsid w:val="14D834B0"/>
    <w:rsid w:val="156409CB"/>
    <w:rsid w:val="16192449"/>
    <w:rsid w:val="161A6328"/>
    <w:rsid w:val="16937B05"/>
    <w:rsid w:val="16C328BC"/>
    <w:rsid w:val="16C52550"/>
    <w:rsid w:val="16D07F7C"/>
    <w:rsid w:val="17EC2557"/>
    <w:rsid w:val="186338EC"/>
    <w:rsid w:val="189677AB"/>
    <w:rsid w:val="19194D46"/>
    <w:rsid w:val="197437D2"/>
    <w:rsid w:val="19F533D7"/>
    <w:rsid w:val="1A930B65"/>
    <w:rsid w:val="1AB37637"/>
    <w:rsid w:val="1BE13604"/>
    <w:rsid w:val="1D4A3BB7"/>
    <w:rsid w:val="1E786D0B"/>
    <w:rsid w:val="1FAD4A10"/>
    <w:rsid w:val="20F77715"/>
    <w:rsid w:val="20F81F3E"/>
    <w:rsid w:val="239545A2"/>
    <w:rsid w:val="250124A7"/>
    <w:rsid w:val="266829C4"/>
    <w:rsid w:val="27A83834"/>
    <w:rsid w:val="284044A0"/>
    <w:rsid w:val="292204CC"/>
    <w:rsid w:val="2A1C4967"/>
    <w:rsid w:val="2C137765"/>
    <w:rsid w:val="2D4442A8"/>
    <w:rsid w:val="2D5C12F4"/>
    <w:rsid w:val="2E5B32F2"/>
    <w:rsid w:val="2E650649"/>
    <w:rsid w:val="2E95179B"/>
    <w:rsid w:val="2F6C5B50"/>
    <w:rsid w:val="30026623"/>
    <w:rsid w:val="308B67FB"/>
    <w:rsid w:val="30B32191"/>
    <w:rsid w:val="316D3AD8"/>
    <w:rsid w:val="32361174"/>
    <w:rsid w:val="329A45A9"/>
    <w:rsid w:val="32F12E1D"/>
    <w:rsid w:val="33E631CE"/>
    <w:rsid w:val="34685EA8"/>
    <w:rsid w:val="353732C0"/>
    <w:rsid w:val="353E569B"/>
    <w:rsid w:val="37623632"/>
    <w:rsid w:val="37883F01"/>
    <w:rsid w:val="38172607"/>
    <w:rsid w:val="38D425D5"/>
    <w:rsid w:val="39292E43"/>
    <w:rsid w:val="392A3A7E"/>
    <w:rsid w:val="394D25C5"/>
    <w:rsid w:val="3A1D0723"/>
    <w:rsid w:val="3B6547BA"/>
    <w:rsid w:val="3B895AD6"/>
    <w:rsid w:val="3C0935D3"/>
    <w:rsid w:val="3C8833AB"/>
    <w:rsid w:val="3D242F53"/>
    <w:rsid w:val="3D485E56"/>
    <w:rsid w:val="3E1D06EA"/>
    <w:rsid w:val="3E366C95"/>
    <w:rsid w:val="3E8278E7"/>
    <w:rsid w:val="3E8F2F3C"/>
    <w:rsid w:val="3EC51971"/>
    <w:rsid w:val="3EF32E48"/>
    <w:rsid w:val="3EFF227E"/>
    <w:rsid w:val="3F732402"/>
    <w:rsid w:val="41B3042B"/>
    <w:rsid w:val="425334F7"/>
    <w:rsid w:val="449D5816"/>
    <w:rsid w:val="44FA5179"/>
    <w:rsid w:val="46134917"/>
    <w:rsid w:val="46B7327B"/>
    <w:rsid w:val="47751AA4"/>
    <w:rsid w:val="487453CB"/>
    <w:rsid w:val="49F44665"/>
    <w:rsid w:val="4BA24FF7"/>
    <w:rsid w:val="4C1F3ED4"/>
    <w:rsid w:val="4C5E715F"/>
    <w:rsid w:val="4C6E52C2"/>
    <w:rsid w:val="4CB3277E"/>
    <w:rsid w:val="4D11468D"/>
    <w:rsid w:val="4D234D20"/>
    <w:rsid w:val="4E8B39BD"/>
    <w:rsid w:val="4F1049DB"/>
    <w:rsid w:val="4FC472DA"/>
    <w:rsid w:val="4FFE0E6C"/>
    <w:rsid w:val="504A5AB4"/>
    <w:rsid w:val="504C5BB5"/>
    <w:rsid w:val="528668AE"/>
    <w:rsid w:val="53182D5B"/>
    <w:rsid w:val="53552FD0"/>
    <w:rsid w:val="54391FB0"/>
    <w:rsid w:val="544955EA"/>
    <w:rsid w:val="56111915"/>
    <w:rsid w:val="561F0438"/>
    <w:rsid w:val="56242FBB"/>
    <w:rsid w:val="5661348C"/>
    <w:rsid w:val="569920D1"/>
    <w:rsid w:val="570C57AD"/>
    <w:rsid w:val="57CF6B9C"/>
    <w:rsid w:val="581D0B1F"/>
    <w:rsid w:val="58873643"/>
    <w:rsid w:val="58A543F4"/>
    <w:rsid w:val="58B27EF4"/>
    <w:rsid w:val="59023101"/>
    <w:rsid w:val="59B210B1"/>
    <w:rsid w:val="5A65009E"/>
    <w:rsid w:val="5A972C21"/>
    <w:rsid w:val="5AB05296"/>
    <w:rsid w:val="5D1A31D4"/>
    <w:rsid w:val="5D4C00A8"/>
    <w:rsid w:val="5F8216D1"/>
    <w:rsid w:val="5FCD10E0"/>
    <w:rsid w:val="6258047E"/>
    <w:rsid w:val="62D558B4"/>
    <w:rsid w:val="630A62E7"/>
    <w:rsid w:val="64D97785"/>
    <w:rsid w:val="6535040F"/>
    <w:rsid w:val="6543088F"/>
    <w:rsid w:val="66DD73FD"/>
    <w:rsid w:val="678148F4"/>
    <w:rsid w:val="6785674A"/>
    <w:rsid w:val="67C872D6"/>
    <w:rsid w:val="682F12A4"/>
    <w:rsid w:val="68C74D9D"/>
    <w:rsid w:val="6A9717EA"/>
    <w:rsid w:val="6B856233"/>
    <w:rsid w:val="6CCA2AD5"/>
    <w:rsid w:val="6D050ADE"/>
    <w:rsid w:val="6D5B75C4"/>
    <w:rsid w:val="6D930F42"/>
    <w:rsid w:val="6DFE6777"/>
    <w:rsid w:val="6E443FA2"/>
    <w:rsid w:val="70CA78CD"/>
    <w:rsid w:val="72646494"/>
    <w:rsid w:val="73E61002"/>
    <w:rsid w:val="74A14022"/>
    <w:rsid w:val="74A720C7"/>
    <w:rsid w:val="751A5B5B"/>
    <w:rsid w:val="76067FFC"/>
    <w:rsid w:val="761C476B"/>
    <w:rsid w:val="76465DF1"/>
    <w:rsid w:val="76643BDA"/>
    <w:rsid w:val="76CF69C7"/>
    <w:rsid w:val="76F24130"/>
    <w:rsid w:val="778B25A7"/>
    <w:rsid w:val="78483345"/>
    <w:rsid w:val="78B956C8"/>
    <w:rsid w:val="78E546A3"/>
    <w:rsid w:val="790F6E43"/>
    <w:rsid w:val="79751BF0"/>
    <w:rsid w:val="7B4561F1"/>
    <w:rsid w:val="7CCD1024"/>
    <w:rsid w:val="7D1048D3"/>
    <w:rsid w:val="7F30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nhideWhenUsed="0" w:uiPriority="2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keepLines/>
      <w:widowControl w:val="0"/>
      <w:numPr>
        <w:ilvl w:val="1"/>
        <w:numId w:val="1"/>
      </w:numPr>
      <w:spacing w:before="260" w:after="260" w:line="408" w:lineRule="auto"/>
      <w:outlineLvl w:val="1"/>
    </w:pPr>
    <w:rPr>
      <w:rFonts w:ascii="Times New Roman" w:hAnsi="Times New Roman" w:eastAsia="宋体" w:cs="Tahoma"/>
      <w:b/>
      <w:bCs/>
      <w:sz w:val="32"/>
      <w:szCs w:val="32"/>
    </w:rPr>
  </w:style>
  <w:style w:type="paragraph" w:styleId="2">
    <w:name w:val="heading 3"/>
    <w:basedOn w:val="1"/>
    <w:next w:val="1"/>
    <w:qFormat/>
    <w:uiPriority w:val="2"/>
    <w:pPr>
      <w:keepLines/>
      <w:numPr>
        <w:ilvl w:val="2"/>
        <w:numId w:val="2"/>
      </w:numPr>
      <w:spacing w:before="260" w:after="260" w:line="408" w:lineRule="auto"/>
      <w:outlineLvl w:val="2"/>
    </w:pPr>
    <w:rPr>
      <w:rFonts w:ascii="Times New Roman" w:hAnsi="Times New Roman" w:eastAsia="宋体" w:cs="Tahoma"/>
      <w:b/>
      <w:bCs/>
      <w:sz w:val="32"/>
      <w:szCs w:val="32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5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6">
    <w:name w:val="Plain Text"/>
    <w:basedOn w:val="1"/>
    <w:qFormat/>
    <w:uiPriority w:val="99"/>
    <w:rPr>
      <w:rFonts w:ascii="宋体"/>
    </w:rPr>
  </w:style>
  <w:style w:type="paragraph" w:styleId="7">
    <w:name w:val="Body Text Indent 2"/>
    <w:basedOn w:val="1"/>
    <w:qFormat/>
    <w:uiPriority w:val="0"/>
    <w:pPr>
      <w:spacing w:line="480" w:lineRule="auto"/>
      <w:ind w:left="420" w:leftChars="200"/>
    </w:pPr>
    <w:rPr>
      <w:rFonts w:ascii="Calibri" w:hAnsi="Calibri" w:eastAsia="宋体" w:cs="Times New Roman"/>
      <w:szCs w:val="24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Normal (Web)"/>
    <w:basedOn w:val="1"/>
    <w:next w:val="8"/>
    <w:unhideWhenUsed/>
    <w:qFormat/>
    <w:uiPriority w:val="99"/>
    <w:pPr>
      <w:spacing w:before="100" w:beforeLines="0" w:beforeAutospacing="1" w:after="100" w:afterLines="0" w:afterAutospacing="1"/>
      <w:jc w:val="left"/>
    </w:pPr>
    <w:rPr>
      <w:rFonts w:hint="default"/>
      <w:kern w:val="0"/>
      <w:sz w:val="24"/>
    </w:rPr>
  </w:style>
  <w:style w:type="paragraph" w:styleId="11">
    <w:name w:val="Body Text First Indent 2"/>
    <w:basedOn w:val="5"/>
    <w:unhideWhenUsed/>
    <w:qFormat/>
    <w:uiPriority w:val="99"/>
    <w:pPr>
      <w:ind w:firstLine="420" w:firstLineChars="200"/>
    </w:pPr>
    <w:rPr>
      <w:b/>
    </w:rPr>
  </w:style>
  <w:style w:type="character" w:styleId="14">
    <w:name w:val="page number"/>
    <w:qFormat/>
    <w:uiPriority w:val="0"/>
  </w:style>
  <w:style w:type="paragraph" w:styleId="15">
    <w:name w:val="List Paragraph"/>
    <w:qFormat/>
    <w:uiPriority w:val="99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16">
    <w:name w:val="无间隔1"/>
    <w:qFormat/>
    <w:uiPriority w:val="1"/>
    <w:pPr>
      <w:widowControl w:val="0"/>
      <w:spacing w:line="660" w:lineRule="exact"/>
      <w:ind w:firstLine="560" w:firstLineChars="200"/>
    </w:pPr>
    <w:rPr>
      <w:rFonts w:ascii="仿宋_GB2312" w:hAnsi="Calibri" w:eastAsia="仿宋_GB2312" w:cs="Times New Roman"/>
      <w:kern w:val="10"/>
      <w:sz w:val="28"/>
      <w:szCs w:val="28"/>
      <w:lang w:val="en-US" w:eastAsia="zh-CN" w:bidi="en-US"/>
    </w:rPr>
  </w:style>
  <w:style w:type="paragraph" w:customStyle="1" w:styleId="17">
    <w:name w:val="标题二"/>
    <w:basedOn w:val="1"/>
    <w:qFormat/>
    <w:uiPriority w:val="0"/>
    <w:pPr>
      <w:snapToGrid w:val="0"/>
      <w:spacing w:before="100" w:beforeLines="100" w:line="360" w:lineRule="auto"/>
      <w:ind w:firstLine="200" w:firstLineChars="200"/>
    </w:pPr>
    <w:rPr>
      <w:rFonts w:ascii="仿宋" w:hAnsi="仿宋" w:eastAsia="仿宋"/>
      <w:b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巴财农督1-7号.docx</Template>
  <Pages>8</Pages>
  <Words>4311</Words>
  <Characters>5009</Characters>
  <Lines>0</Lines>
  <Paragraphs>0</Paragraphs>
  <TotalTime>2</TotalTime>
  <ScaleCrop>false</ScaleCrop>
  <LinksUpToDate>false</LinksUpToDate>
  <CharactersWithSpaces>5087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2020-04-15T04:43:00Z</dcterms:created>
  <dc:creator>Administrator</dc:creator>
  <cp:lastModifiedBy>Administrator</cp:lastModifiedBy>
  <cp:lastPrinted>2023-09-24T11:25:00Z</cp:lastPrinted>
  <dcterms:modified xsi:type="dcterms:W3CDTF">2026-08-21T08:46:18Z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17DCEA96912B434691E41EE744BCB877</vt:lpwstr>
  </property>
</Properties>
</file>